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3A9FB" w14:textId="77777777" w:rsidR="004B66B3" w:rsidRDefault="001A06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pict w14:anchorId="1B3F46AC">
          <v:shapetype id="_x0000_m102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o:lock v:ext="edit" text="t" shapetype="t"/>
          </v:shapetype>
        </w:pict>
      </w:r>
    </w:p>
    <w:p w14:paraId="1A5CB06B" w14:textId="77777777" w:rsidR="004B66B3" w:rsidRDefault="004B66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106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7925"/>
      </w:tblGrid>
      <w:tr w:rsidR="004B66B3" w14:paraId="04C398B7" w14:textId="77777777">
        <w:tc>
          <w:tcPr>
            <w:tcW w:w="2695" w:type="dxa"/>
          </w:tcPr>
          <w:p w14:paraId="70E8AF1E" w14:textId="77777777" w:rsidR="004B66B3" w:rsidRDefault="001A068A">
            <w:pPr>
              <w:tabs>
                <w:tab w:val="right" w:pos="9360"/>
              </w:tabs>
            </w:pPr>
            <w:r>
              <w:rPr>
                <w:noProof/>
              </w:rPr>
              <w:drawing>
                <wp:inline distT="0" distB="0" distL="0" distR="0" wp14:anchorId="65870495" wp14:editId="07C7A8A4">
                  <wp:extent cx="1380758" cy="845529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58" cy="8455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5" w:type="dxa"/>
          </w:tcPr>
          <w:p w14:paraId="2992FF38" w14:textId="77777777" w:rsidR="004B66B3" w:rsidRPr="001A068A" w:rsidRDefault="001A068A">
            <w:pPr>
              <w:tabs>
                <w:tab w:val="right" w:pos="9360"/>
              </w:tabs>
              <w:jc w:val="right"/>
              <w:rPr>
                <w:rFonts w:eastAsia="Calibri"/>
                <w:b/>
                <w:smallCaps/>
                <w:sz w:val="56"/>
                <w:szCs w:val="56"/>
                <w:u w:val="single"/>
              </w:rPr>
            </w:pPr>
            <w:r w:rsidRPr="001A068A">
              <w:rPr>
                <w:rFonts w:eastAsia="Calibri"/>
                <w:b/>
                <w:smallCaps/>
                <w:sz w:val="56"/>
                <w:szCs w:val="56"/>
                <w:u w:val="single"/>
              </w:rPr>
              <w:t>Data Committee</w:t>
            </w:r>
          </w:p>
          <w:p w14:paraId="0755E1C9" w14:textId="77777777" w:rsidR="004B66B3" w:rsidRDefault="001A068A">
            <w:pPr>
              <w:tabs>
                <w:tab w:val="right" w:pos="9360"/>
              </w:tabs>
              <w:jc w:val="right"/>
            </w:pPr>
            <w:bookmarkStart w:id="0" w:name="_heading=h.gjdgxs" w:colFirst="0" w:colLast="0"/>
            <w:bookmarkEnd w:id="0"/>
            <w:r w:rsidRPr="001A068A">
              <w:rPr>
                <w:rFonts w:eastAsia="Calibri"/>
                <w:b/>
                <w:smallCaps/>
                <w:sz w:val="56"/>
                <w:szCs w:val="56"/>
                <w:u w:val="single"/>
              </w:rPr>
              <w:t>2022/3 Work Plan</w:t>
            </w:r>
          </w:p>
        </w:tc>
      </w:tr>
    </w:tbl>
    <w:p w14:paraId="5EC65CE6" w14:textId="77777777" w:rsidR="004B66B3" w:rsidRDefault="004B66B3">
      <w:pPr>
        <w:pStyle w:val="Heading2"/>
        <w:spacing w:after="240"/>
        <w:rPr>
          <w:u w:val="none"/>
        </w:rPr>
      </w:pPr>
    </w:p>
    <w:p w14:paraId="7AE6DB23" w14:textId="77777777" w:rsidR="004B66B3" w:rsidRDefault="001A068A">
      <w:pPr>
        <w:pStyle w:val="Heading2"/>
        <w:spacing w:after="240"/>
        <w:rPr>
          <w:u w:val="none"/>
        </w:rPr>
      </w:pPr>
      <w:r>
        <w:rPr>
          <w:u w:val="none"/>
        </w:rPr>
        <w:t xml:space="preserve">Mission (from statutes): </w:t>
      </w:r>
    </w:p>
    <w:p w14:paraId="0571CA06" w14:textId="77777777" w:rsidR="004B66B3" w:rsidRDefault="001A068A">
      <w:pPr>
        <w:numPr>
          <w:ilvl w:val="0"/>
          <w:numId w:val="1"/>
        </w:numPr>
        <w:spacing w:line="259" w:lineRule="auto"/>
        <w:jc w:val="left"/>
      </w:pPr>
      <w:r>
        <w:t>Promote geospatial data sharing and appropriate strategies to support AZGeo</w:t>
      </w:r>
    </w:p>
    <w:p w14:paraId="796008D7" w14:textId="77777777" w:rsidR="004B66B3" w:rsidRDefault="001A068A">
      <w:pPr>
        <w:numPr>
          <w:ilvl w:val="0"/>
          <w:numId w:val="1"/>
        </w:numPr>
        <w:spacing w:line="259" w:lineRule="auto"/>
        <w:jc w:val="left"/>
      </w:pPr>
      <w:r>
        <w:t>Facilitate interagency coordination of geospatial data sharing and supporting AZGeo to enhance and support state, federal, and local government business systems</w:t>
      </w:r>
    </w:p>
    <w:p w14:paraId="744016F0" w14:textId="77777777" w:rsidR="004B66B3" w:rsidRDefault="001A068A">
      <w:pPr>
        <w:numPr>
          <w:ilvl w:val="0"/>
          <w:numId w:val="1"/>
        </w:numPr>
        <w:spacing w:after="80" w:line="259" w:lineRule="auto"/>
        <w:jc w:val="left"/>
      </w:pPr>
      <w:r>
        <w:t>Incorporate user requirements on matters related to geospatial data, services, standards, applications, and activities to improve data sharing and use </w:t>
      </w:r>
    </w:p>
    <w:p w14:paraId="59BCF8AF" w14:textId="77777777" w:rsidR="004B66B3" w:rsidRDefault="001A068A">
      <w:pPr>
        <w:tabs>
          <w:tab w:val="right" w:pos="9360"/>
        </w:tabs>
        <w:spacing w:before="80" w:after="120"/>
        <w:jc w:val="left"/>
      </w:pPr>
      <w:r>
        <w:t>Meeting Dates: Committee will meet quarterly on the second Wednesday of the month for 2 hours</w:t>
      </w:r>
    </w:p>
    <w:p w14:paraId="419D4963" w14:textId="77777777" w:rsidR="004B66B3" w:rsidRDefault="001A06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450"/>
        </w:tabs>
        <w:spacing w:before="240" w:after="120"/>
        <w:jc w:val="left"/>
        <w:rPr>
          <w:color w:val="000000"/>
        </w:rPr>
      </w:pPr>
      <w:r>
        <w:rPr>
          <w:color w:val="000000"/>
        </w:rPr>
        <w:t>January 1</w:t>
      </w:r>
      <w:r>
        <w:t>2</w:t>
      </w:r>
      <w:r>
        <w:rPr>
          <w:color w:val="000000"/>
        </w:rPr>
        <w:t>, April 1</w:t>
      </w:r>
      <w:r>
        <w:t>3</w:t>
      </w:r>
      <w:r>
        <w:rPr>
          <w:color w:val="000000"/>
        </w:rPr>
        <w:t>, July 1</w:t>
      </w:r>
      <w:r>
        <w:t>3</w:t>
      </w:r>
      <w:r>
        <w:rPr>
          <w:color w:val="000000"/>
        </w:rPr>
        <w:t>, Oct 1</w:t>
      </w:r>
      <w:r>
        <w:t>2</w:t>
      </w:r>
    </w:p>
    <w:p w14:paraId="4A151F73" w14:textId="77777777" w:rsidR="004B66B3" w:rsidRDefault="001A068A">
      <w:pPr>
        <w:tabs>
          <w:tab w:val="right" w:pos="9360"/>
        </w:tabs>
        <w:spacing w:after="120"/>
        <w:jc w:val="left"/>
      </w:pPr>
      <w:r>
        <w:t>Data Committee Participants:</w:t>
      </w:r>
    </w:p>
    <w:p w14:paraId="2764595E" w14:textId="77777777" w:rsidR="004B66B3" w:rsidRDefault="001A068A">
      <w:pPr>
        <w:tabs>
          <w:tab w:val="left" w:pos="450"/>
          <w:tab w:val="right" w:pos="9360"/>
        </w:tabs>
        <w:spacing w:after="120"/>
        <w:jc w:val="left"/>
      </w:pPr>
      <w:r>
        <w:tab/>
        <w:t>Chairs: Howard Ward, Jenna Leveille</w:t>
      </w:r>
    </w:p>
    <w:p w14:paraId="4FC535C7" w14:textId="6021BFA5" w:rsidR="004B66B3" w:rsidRDefault="001A068A">
      <w:pPr>
        <w:spacing w:after="160" w:line="259" w:lineRule="auto"/>
        <w:ind w:left="450" w:hanging="450"/>
        <w:jc w:val="left"/>
      </w:pPr>
      <w:r>
        <w:tab/>
        <w:t xml:space="preserve">Voting Members: Jack Avis, Kevin Blake, Jerome Breyer, </w:t>
      </w:r>
      <w:r>
        <w:t>Helen Costello,</w:t>
      </w:r>
      <w:r>
        <w:t xml:space="preserve"> </w:t>
      </w:r>
      <w:r>
        <w:t xml:space="preserve">Nicole </w:t>
      </w:r>
      <w:proofErr w:type="spellStart"/>
      <w:r>
        <w:t>Eiden</w:t>
      </w:r>
      <w:proofErr w:type="spellEnd"/>
      <w:r>
        <w:t xml:space="preserve">, Eric Feldman, Bo Guo, Ben Hickson, Boyd Larkin, Keith Larson, </w:t>
      </w:r>
      <w:r>
        <w:t>James Meyer, Jason</w:t>
      </w:r>
      <w:r>
        <w:t xml:space="preserve"> Nyberg, Phil Ponce, </w:t>
      </w:r>
      <w:r>
        <w:t xml:space="preserve">Jill Sherwood, Susan Smith, </w:t>
      </w:r>
      <w:r>
        <w:t xml:space="preserve">Jamie White, Steve Whitney, Jamie White, Andrew </w:t>
      </w:r>
      <w:proofErr w:type="spellStart"/>
      <w:r>
        <w:t>Zaffos</w:t>
      </w:r>
      <w:proofErr w:type="spellEnd"/>
    </w:p>
    <w:p w14:paraId="5BACE9D5" w14:textId="7B63F781" w:rsidR="004B66B3" w:rsidRDefault="001A068A">
      <w:pPr>
        <w:spacing w:after="160" w:line="259" w:lineRule="auto"/>
        <w:ind w:left="450"/>
        <w:jc w:val="left"/>
      </w:pPr>
      <w:r>
        <w:t xml:space="preserve">Public-at-large Participants (determined by attending one of the previous three meetings): Brandon Barnett, Robert Bauer, Lynda Bell, Jim </w:t>
      </w:r>
      <w:proofErr w:type="spellStart"/>
      <w:r>
        <w:t>Castagneri</w:t>
      </w:r>
      <w:proofErr w:type="spellEnd"/>
      <w:r>
        <w:t xml:space="preserve">, </w:t>
      </w:r>
      <w:r>
        <w:t>Mark Christiano,</w:t>
      </w:r>
      <w:r>
        <w:t xml:space="preserve"> Brian Colson, Jackie Crowley, </w:t>
      </w:r>
      <w:bookmarkStart w:id="1" w:name="_GoBack"/>
      <w:bookmarkEnd w:id="1"/>
      <w:r>
        <w:t xml:space="preserve">Drew Decker, Kimberley Denney, Sage Donaldson, Kam Draper, Brian Fisher, </w:t>
      </w:r>
      <w:r>
        <w:t xml:space="preserve">Kasey Green, Wolfgang Grunberg, Elizabeth Heller, Cory </w:t>
      </w:r>
      <w:proofErr w:type="spellStart"/>
      <w:r>
        <w:t>Homuth</w:t>
      </w:r>
      <w:proofErr w:type="spellEnd"/>
      <w:r>
        <w:t xml:space="preserve">, </w:t>
      </w:r>
      <w:r>
        <w:t xml:space="preserve">Jason Howard, Paul </w:t>
      </w:r>
      <w:proofErr w:type="spellStart"/>
      <w:r>
        <w:t>Keidel</w:t>
      </w:r>
      <w:proofErr w:type="spellEnd"/>
      <w:r>
        <w:t xml:space="preserve">, Johanna Kraus, Shea Lemar, Seth Lewis, </w:t>
      </w:r>
      <w:r>
        <w:t xml:space="preserve">Ayan Mitra, </w:t>
      </w:r>
      <w:r>
        <w:t xml:space="preserve">Mariah </w:t>
      </w:r>
      <w:proofErr w:type="spellStart"/>
      <w:r>
        <w:t>Modson</w:t>
      </w:r>
      <w:proofErr w:type="spellEnd"/>
      <w:r>
        <w:t>,</w:t>
      </w:r>
      <w:r>
        <w:t xml:space="preserve"> Margo Neff, Veronica Nixon,</w:t>
      </w:r>
      <w:r>
        <w:t xml:space="preserve"> </w:t>
      </w:r>
      <w:r>
        <w:t xml:space="preserve">Chuck Powell, </w:t>
      </w:r>
      <w:proofErr w:type="spellStart"/>
      <w:r>
        <w:t>Thara</w:t>
      </w:r>
      <w:proofErr w:type="spellEnd"/>
      <w:r>
        <w:t xml:space="preserve"> Salamone, Carrie Schmidt, Aaron Seifert, Eric Shreve,</w:t>
      </w:r>
      <w:r>
        <w:t xml:space="preserve"> Leslie Stovall, </w:t>
      </w:r>
      <w:r>
        <w:t xml:space="preserve">Aparna </w:t>
      </w:r>
      <w:proofErr w:type="spellStart"/>
      <w:r>
        <w:t>Thatte</w:t>
      </w:r>
      <w:proofErr w:type="spellEnd"/>
      <w:r>
        <w:t xml:space="preserve">, Elisabeth van der Leeuw, </w:t>
      </w:r>
      <w:r>
        <w:t>David Waltz,</w:t>
      </w:r>
      <w:r>
        <w:t xml:space="preserve"> Antonio </w:t>
      </w:r>
      <w:proofErr w:type="spellStart"/>
      <w:r>
        <w:t>Wickliff</w:t>
      </w:r>
      <w:proofErr w:type="spellEnd"/>
      <w:r>
        <w:t xml:space="preserve">, </w:t>
      </w:r>
      <w:r>
        <w:t>Jeff Wolkove</w:t>
      </w:r>
    </w:p>
    <w:p w14:paraId="139388B7" w14:textId="77777777" w:rsidR="004B66B3" w:rsidRDefault="001A068A">
      <w:pPr>
        <w:tabs>
          <w:tab w:val="right" w:pos="9360"/>
        </w:tabs>
        <w:spacing w:after="120"/>
        <w:jc w:val="center"/>
        <w:rPr>
          <w:smallCap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hidden="0" allowOverlap="1" wp14:anchorId="119D4D42" wp14:editId="5AA9A0DC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743700" cy="1270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4150" y="378000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743700" cy="12700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DF0A362" w14:textId="77777777" w:rsidR="004B66B3" w:rsidRDefault="001A068A">
      <w:pPr>
        <w:tabs>
          <w:tab w:val="right" w:pos="9360"/>
        </w:tabs>
        <w:spacing w:after="120"/>
        <w:jc w:val="left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Goals And Activities</w:t>
      </w:r>
    </w:p>
    <w:p w14:paraId="33B8A458" w14:textId="77777777" w:rsidR="004B66B3" w:rsidRDefault="001A068A">
      <w:pPr>
        <w:tabs>
          <w:tab w:val="right" w:pos="9360"/>
        </w:tabs>
        <w:spacing w:after="120"/>
        <w:jc w:val="left"/>
        <w:rPr>
          <w:sz w:val="26"/>
          <w:szCs w:val="26"/>
        </w:rPr>
      </w:pPr>
      <w:r>
        <w:rPr>
          <w:sz w:val="26"/>
          <w:szCs w:val="26"/>
        </w:rPr>
        <w:t>Provide a Forum and Structure to Discuss Current Geospatial Data, Initiatives and Technologies</w:t>
      </w:r>
    </w:p>
    <w:p w14:paraId="4D859138" w14:textId="77777777" w:rsidR="004B66B3" w:rsidRDefault="001A0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  <w:rPr>
          <w:color w:val="000000"/>
        </w:rPr>
      </w:pPr>
      <w:r>
        <w:rPr>
          <w:color w:val="000000"/>
        </w:rPr>
        <w:t>Coordinate demo’s or presentations for each meeting demonstrating AGIC Committee/Work</w:t>
      </w:r>
      <w:r>
        <w:t>g</w:t>
      </w:r>
      <w:r>
        <w:rPr>
          <w:color w:val="000000"/>
        </w:rPr>
        <w:t>roup activities</w:t>
      </w:r>
      <w:r>
        <w:t>, based on feedback from the Data Committee</w:t>
      </w:r>
    </w:p>
    <w:p w14:paraId="1820F59A" w14:textId="77777777" w:rsidR="004B66B3" w:rsidRDefault="001A0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  <w:rPr>
          <w:color w:val="000000"/>
        </w:rPr>
      </w:pPr>
      <w:r>
        <w:rPr>
          <w:color w:val="000000"/>
        </w:rPr>
        <w:t>Support the development of a Data Committee Work Group track at the AGIC Symposium</w:t>
      </w:r>
    </w:p>
    <w:p w14:paraId="437AC9C5" w14:textId="77777777" w:rsidR="004B66B3" w:rsidRDefault="001A068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  <w:rPr>
          <w:color w:val="000000"/>
        </w:rPr>
      </w:pPr>
      <w:r>
        <w:rPr>
          <w:color w:val="000000"/>
        </w:rPr>
        <w:t>Each Work Group to provide a</w:t>
      </w:r>
      <w:r>
        <w:rPr>
          <w:color w:val="000000"/>
        </w:rPr>
        <w:t>n abstract(s) to the Conference Committee on illustrating current activities for a Data Committee track</w:t>
      </w:r>
    </w:p>
    <w:p w14:paraId="589B6694" w14:textId="77777777" w:rsidR="004B66B3" w:rsidRDefault="001A0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120"/>
        <w:jc w:val="left"/>
        <w:rPr>
          <w:color w:val="000000"/>
        </w:rPr>
      </w:pPr>
      <w:r>
        <w:rPr>
          <w:color w:val="000000"/>
        </w:rPr>
        <w:t>Identify resources required to carry out proposed activities</w:t>
      </w:r>
    </w:p>
    <w:p w14:paraId="5CBB17B4" w14:textId="77777777" w:rsidR="004B66B3" w:rsidRDefault="004B66B3">
      <w:pPr>
        <w:tabs>
          <w:tab w:val="right" w:pos="9360"/>
        </w:tabs>
        <w:spacing w:after="120"/>
        <w:jc w:val="left"/>
        <w:rPr>
          <w:sz w:val="26"/>
          <w:szCs w:val="26"/>
        </w:rPr>
      </w:pPr>
    </w:p>
    <w:p w14:paraId="1089295D" w14:textId="77777777" w:rsidR="004B66B3" w:rsidRDefault="004B66B3">
      <w:pPr>
        <w:tabs>
          <w:tab w:val="right" w:pos="9360"/>
        </w:tabs>
        <w:spacing w:after="120"/>
        <w:jc w:val="left"/>
        <w:rPr>
          <w:sz w:val="26"/>
          <w:szCs w:val="26"/>
        </w:rPr>
      </w:pPr>
    </w:p>
    <w:p w14:paraId="79048782" w14:textId="77777777" w:rsidR="004B66B3" w:rsidRDefault="001A068A">
      <w:pPr>
        <w:tabs>
          <w:tab w:val="right" w:pos="9360"/>
        </w:tabs>
        <w:spacing w:after="120"/>
        <w:jc w:val="left"/>
        <w:rPr>
          <w:sz w:val="26"/>
          <w:szCs w:val="26"/>
        </w:rPr>
      </w:pPr>
      <w:r>
        <w:rPr>
          <w:sz w:val="26"/>
          <w:szCs w:val="26"/>
        </w:rPr>
        <w:t>Facilitate Interagency Coordination and Encourage Geospatial Data Sharing</w:t>
      </w:r>
    </w:p>
    <w:p w14:paraId="3DCF854E" w14:textId="77777777" w:rsidR="004B66B3" w:rsidRDefault="001A0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Serve as a forum to facilitate informational exchange between state, federal, tribal, regional, and local governments, the private sector and professional associations, in support of the annual AGIC Strategic and Business Direction.</w:t>
      </w:r>
    </w:p>
    <w:p w14:paraId="5D39DD92" w14:textId="77777777" w:rsidR="004B66B3" w:rsidRDefault="001A0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Promote geospatial data</w:t>
      </w:r>
      <w:r>
        <w:rPr>
          <w:color w:val="000000"/>
          <w:sz w:val="26"/>
          <w:szCs w:val="26"/>
        </w:rPr>
        <w:t xml:space="preserve"> sharing, data project collaboration, and the inclusion of data in the public domain, to maximize the benefit of AZGeo as a state clearinghouse </w:t>
      </w:r>
      <w:r>
        <w:rPr>
          <w:sz w:val="26"/>
          <w:szCs w:val="26"/>
        </w:rPr>
        <w:t>data-sharing</w:t>
      </w:r>
      <w:r>
        <w:rPr>
          <w:color w:val="000000"/>
          <w:sz w:val="26"/>
          <w:szCs w:val="26"/>
        </w:rPr>
        <w:t xml:space="preserve"> platform.</w:t>
      </w:r>
    </w:p>
    <w:p w14:paraId="0FF61AE2" w14:textId="77777777" w:rsidR="004B66B3" w:rsidRDefault="001A0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  <w:rPr>
          <w:sz w:val="26"/>
          <w:szCs w:val="26"/>
        </w:rPr>
      </w:pPr>
      <w:r>
        <w:rPr>
          <w:sz w:val="26"/>
          <w:szCs w:val="26"/>
        </w:rPr>
        <w:t>Encourage the development, use, and sharing of standards and/or best practices</w:t>
      </w:r>
    </w:p>
    <w:p w14:paraId="6F7218B4" w14:textId="77777777" w:rsidR="004B66B3" w:rsidRDefault="001A0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Coordinate</w:t>
      </w:r>
      <w:r>
        <w:rPr>
          <w:color w:val="000000"/>
          <w:sz w:val="26"/>
          <w:szCs w:val="26"/>
        </w:rPr>
        <w:t xml:space="preserve"> activities with appropriate AGIC committees as required</w:t>
      </w:r>
    </w:p>
    <w:p w14:paraId="072AB1F9" w14:textId="77777777" w:rsidR="004B66B3" w:rsidRDefault="001A0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Identify and coordinate funding and mentorship opportunities to assist rural counties in maintaining Arizona framework datasets.</w:t>
      </w:r>
    </w:p>
    <w:p w14:paraId="0BFA453F" w14:textId="77777777" w:rsidR="004B66B3" w:rsidRDefault="004B66B3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120"/>
        <w:ind w:left="1515"/>
        <w:jc w:val="left"/>
        <w:rPr>
          <w:color w:val="000000"/>
          <w:sz w:val="26"/>
          <w:szCs w:val="26"/>
        </w:rPr>
      </w:pPr>
    </w:p>
    <w:sectPr w:rsidR="004B66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F1CE7" w14:textId="77777777" w:rsidR="00000000" w:rsidRDefault="001A068A">
      <w:r>
        <w:separator/>
      </w:r>
    </w:p>
  </w:endnote>
  <w:endnote w:type="continuationSeparator" w:id="0">
    <w:p w14:paraId="21D5C115" w14:textId="77777777" w:rsidR="00000000" w:rsidRDefault="001A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8C4CB" w14:textId="77777777" w:rsidR="004B66B3" w:rsidRDefault="004B66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51BDE" w14:textId="77777777" w:rsidR="004B66B3" w:rsidRDefault="001A06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0FAB72A" w14:textId="77777777" w:rsidR="004B66B3" w:rsidRDefault="004B66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B8E3B" w14:textId="77777777" w:rsidR="004B66B3" w:rsidRDefault="004B66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D077E" w14:textId="77777777" w:rsidR="00000000" w:rsidRDefault="001A068A">
      <w:r>
        <w:separator/>
      </w:r>
    </w:p>
  </w:footnote>
  <w:footnote w:type="continuationSeparator" w:id="0">
    <w:p w14:paraId="663C4A45" w14:textId="77777777" w:rsidR="00000000" w:rsidRDefault="001A0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2A96F" w14:textId="77777777" w:rsidR="004B66B3" w:rsidRDefault="004B66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16099" w14:textId="77777777" w:rsidR="004B66B3" w:rsidRDefault="001A06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6DEA8268">
        <v:shapetype id="_x0000_m102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  <v:shape id="PowerPlusWaterMarkObject1" o:spid="_x0000_s2049" type="#_x0000_m1026" style="position:absolute;left:0;text-align:left;margin-left:0;margin-top:0;width:412.4pt;height:247.45pt;rotation:315;z-index:-251658752;mso-position-horizontal:center;mso-position-horizontal-relative:margin;mso-position-vertical:center;mso-position-vertical-relative:margin" fillcolor="silver" stroked="f">
          <v:fill opacity=".5" angle="0"/>
          <v:textpath on="t" style="font-family:&quot;&amp;quot&quot;;font-size:1pt" fitshape="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76A4A" w14:textId="77777777" w:rsidR="004B66B3" w:rsidRDefault="004B66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4998"/>
    <w:multiLevelType w:val="multilevel"/>
    <w:tmpl w:val="239A561C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515DEB"/>
    <w:multiLevelType w:val="multilevel"/>
    <w:tmpl w:val="A442E1EA"/>
    <w:lvl w:ilvl="0">
      <w:start w:val="1"/>
      <w:numFmt w:val="bullet"/>
      <w:pStyle w:val="DESListStyle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AA0288"/>
    <w:multiLevelType w:val="multilevel"/>
    <w:tmpl w:val="AA842F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8877BA"/>
    <w:multiLevelType w:val="multilevel"/>
    <w:tmpl w:val="F5985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B3"/>
    <w:rsid w:val="001A068A"/>
    <w:rsid w:val="004B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4E4DFC"/>
  <w15:docId w15:val="{AD20A082-E638-49CF-86F6-3F1BFAFE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S Normal"/>
    <w:qFormat/>
    <w:rsid w:val="001C4A7B"/>
  </w:style>
  <w:style w:type="paragraph" w:styleId="Heading1">
    <w:name w:val="heading 1"/>
    <w:aliases w:val="DES Heading 1"/>
    <w:basedOn w:val="Normal"/>
    <w:next w:val="Normal"/>
    <w:link w:val="Heading1Char"/>
    <w:uiPriority w:val="9"/>
    <w:qFormat/>
    <w:rsid w:val="001C4A7B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aliases w:val="DES Heading 2"/>
    <w:basedOn w:val="Normal"/>
    <w:next w:val="Normal"/>
    <w:link w:val="Heading2Char"/>
    <w:uiPriority w:val="9"/>
    <w:unhideWhenUsed/>
    <w:qFormat/>
    <w:rsid w:val="001C4A7B"/>
    <w:pPr>
      <w:keepNext/>
      <w:keepLines/>
      <w:outlineLvl w:val="1"/>
    </w:pPr>
    <w:rPr>
      <w:rFonts w:eastAsiaTheme="majorEastAsia" w:cstheme="majorBidi"/>
      <w:szCs w:val="26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ES Title"/>
    <w:basedOn w:val="Normal"/>
    <w:next w:val="Normal"/>
    <w:link w:val="TitleChar"/>
    <w:uiPriority w:val="10"/>
    <w:qFormat/>
    <w:rsid w:val="001C4A7B"/>
    <w:pPr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paragraph" w:customStyle="1" w:styleId="DESListStyle">
    <w:name w:val="DES List Style"/>
    <w:basedOn w:val="ListParagraph"/>
    <w:link w:val="DESListStyleChar"/>
    <w:qFormat/>
    <w:rsid w:val="001C4A7B"/>
    <w:pPr>
      <w:numPr>
        <w:numId w:val="2"/>
      </w:numPr>
    </w:pPr>
    <w:rPr>
      <w:rFonts w:eastAsia="Times New Roman"/>
      <w:color w:val="000000"/>
    </w:rPr>
  </w:style>
  <w:style w:type="character" w:customStyle="1" w:styleId="DESListStyleChar">
    <w:name w:val="DES List Style Char"/>
    <w:basedOn w:val="DefaultParagraphFont"/>
    <w:link w:val="DESListStyle"/>
    <w:rsid w:val="001C4A7B"/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3AF"/>
    <w:pPr>
      <w:ind w:left="720"/>
      <w:contextualSpacing/>
    </w:pPr>
  </w:style>
  <w:style w:type="character" w:customStyle="1" w:styleId="Heading1Char">
    <w:name w:val="Heading 1 Char"/>
    <w:aliases w:val="DES Heading 1 Char"/>
    <w:basedOn w:val="DefaultParagraphFont"/>
    <w:link w:val="Heading1"/>
    <w:uiPriority w:val="9"/>
    <w:rsid w:val="001C4A7B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aliases w:val="DES Heading 2 Char"/>
    <w:basedOn w:val="DefaultParagraphFont"/>
    <w:link w:val="Heading2"/>
    <w:uiPriority w:val="9"/>
    <w:rsid w:val="001C4A7B"/>
    <w:rPr>
      <w:rFonts w:ascii="Arial" w:eastAsiaTheme="majorEastAsia" w:hAnsi="Arial" w:cstheme="majorBidi"/>
      <w:sz w:val="24"/>
      <w:szCs w:val="26"/>
      <w:u w:val="single"/>
    </w:rPr>
  </w:style>
  <w:style w:type="paragraph" w:customStyle="1" w:styleId="DESTOCLevel1">
    <w:name w:val="DES TOC Level 1"/>
    <w:basedOn w:val="Heading1"/>
    <w:link w:val="DESTOCLevel1Char"/>
    <w:qFormat/>
    <w:rsid w:val="001C4A7B"/>
    <w:pPr>
      <w:spacing w:before="120"/>
    </w:pPr>
    <w:rPr>
      <w:sz w:val="24"/>
    </w:rPr>
  </w:style>
  <w:style w:type="character" w:customStyle="1" w:styleId="DESTOCLevel1Char">
    <w:name w:val="DES TOC Level 1 Char"/>
    <w:basedOn w:val="DefaultParagraphFont"/>
    <w:link w:val="DESTOCLevel1"/>
    <w:rsid w:val="001C4A7B"/>
    <w:rPr>
      <w:rFonts w:ascii="Arial" w:eastAsiaTheme="majorEastAsia" w:hAnsi="Arial" w:cstheme="majorBidi"/>
      <w:b/>
      <w:sz w:val="24"/>
      <w:szCs w:val="32"/>
    </w:rPr>
  </w:style>
  <w:style w:type="paragraph" w:customStyle="1" w:styleId="DESTOCLevel2">
    <w:name w:val="DES TOC Level 2"/>
    <w:basedOn w:val="TOC2"/>
    <w:link w:val="DESTOCLevel2Char"/>
    <w:qFormat/>
    <w:rsid w:val="001C4A7B"/>
    <w:pPr>
      <w:spacing w:before="40" w:after="0"/>
      <w:ind w:left="504"/>
      <w:outlineLvl w:val="0"/>
    </w:pPr>
    <w:rPr>
      <w:rFonts w:eastAsiaTheme="minorEastAsia" w:cs="Times New Roman"/>
    </w:rPr>
  </w:style>
  <w:style w:type="character" w:customStyle="1" w:styleId="DESTOCLevel2Char">
    <w:name w:val="DES TOC Level 2 Char"/>
    <w:basedOn w:val="DefaultParagraphFont"/>
    <w:link w:val="DESTOCLevel2"/>
    <w:rsid w:val="001C4A7B"/>
    <w:rPr>
      <w:rFonts w:ascii="Arial" w:eastAsiaTheme="minorEastAsia" w:hAnsi="Arial" w:cs="Times New Roma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243AF"/>
    <w:pPr>
      <w:spacing w:after="100"/>
      <w:ind w:left="220"/>
    </w:pPr>
  </w:style>
  <w:style w:type="character" w:customStyle="1" w:styleId="TitleChar">
    <w:name w:val="Title Char"/>
    <w:aliases w:val="DES Title Char"/>
    <w:basedOn w:val="DefaultParagraphFont"/>
    <w:link w:val="Title"/>
    <w:uiPriority w:val="10"/>
    <w:rsid w:val="001C4A7B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821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0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0D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0D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0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2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A9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D2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A91"/>
    <w:rPr>
      <w:rFonts w:ascii="Arial" w:hAnsi="Arial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+66DSkfU9I9Ipp4NxxpOOW+umw==">AMUW2mU2PrunmsVYA6m0IivQE/OF+vMN+ygWDqRuAUSZvGKKnX7oxx8qH3EwhhMiqzr6DNjXxfKJ8MWCaZKqP8jIujYy7/b0xCnVAiqNL50CyBceICAoCuVw93RhhQT16+STp5vXcSiYSg+kifuxoosr19Yrn0398spD1+bi/rqsuHIt5vmOVq2ssMuteUaE4JWyTqu9FNtp0EXWqKYJiRTudJsiXWtSnUZNFtGO0eTyOqbGsHCklWJwRVVpyb3PV5Uzg0XFU32QbuD7cC+nXqPG3OR5qmrw1wU0Qwbf6JXUveM8U9JS/dJ9OUGO+Obre/F2lkXgbNN4ugtfUKPpGqRmlUmpdTmW6QMAQ5JaT/bdOX4HBksgCiroLQTtq2BpiyjAHPad03sE27tTfXBFCubwl6izih41kYyGC3xn4qjQ92qz78jSddwG82CWaKsNvMngoZqO1h/eIKrVqMd21BfMuTI7kPCLkGQdKGyZIhX2RGiXm2yEWMgfuxAAipo7W4JPHOyVpbaXqHwyi9UUGo885ZvXQKE1PkQjpJoFwmxgukTxJV16ivhNV5sEDbdBv2bIl8t+0FD4VfLh5z2/dCxbCFOesYqFg9iYwTH/7Co7yJVKmZZTjpaUc5JG+lsuRPrxmf4fiiQphlnavCUkJmmgzOn+hNNJhp6vjR2z8+BcNLv29YsCV4ScRTLVG7PFMoH2V+HvNNI8ZzvuLq9vpE8fEoLTmZqUqLTtb40enfJsnRxbpaXIbStLh8JhRnI0CI53oGBqIAMeUlSbcFMVfjkGCUbVj0rx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2390</Characters>
  <Application>Microsoft Office Word</Application>
  <DocSecurity>0</DocSecurity>
  <Lines>72</Lines>
  <Paragraphs>46</Paragraphs>
  <ScaleCrop>false</ScaleCrop>
  <Company>Arizona State Land Department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Lucas, M</dc:creator>
  <cp:lastModifiedBy>Jenna Straface</cp:lastModifiedBy>
  <cp:revision>2</cp:revision>
  <dcterms:created xsi:type="dcterms:W3CDTF">2021-01-13T23:25:00Z</dcterms:created>
  <dcterms:modified xsi:type="dcterms:W3CDTF">2022-04-08T02:46:00Z</dcterms:modified>
</cp:coreProperties>
</file>