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1FE4F" w14:textId="77777777" w:rsidR="00D332D0" w:rsidRDefault="00851F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</w:pPr>
      <w:r>
        <w:pict w14:anchorId="2229F7DC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0;margin-top:0;width:50pt;height:50pt;z-index:251657728;visibility:hidden">
            <o:lock v:ext="edit" selection="t"/>
          </v:shape>
        </w:pict>
      </w:r>
      <w:r>
        <w:pict w14:anchorId="3F1670AA">
          <v:shape id="_x0000_s1026" type="#_x0000_t136" style="position:absolute;margin-left:0;margin-top:0;width:50pt;height:50pt;z-index:251658752;visibility:hidden">
            <o:lock v:ext="edit" selection="t"/>
          </v:shape>
        </w:pict>
      </w:r>
    </w:p>
    <w:p w14:paraId="5C25F304" w14:textId="06CC4CB9" w:rsidR="00D332D0" w:rsidRDefault="00D332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</w:pPr>
    </w:p>
    <w:p w14:paraId="36E8C3E2" w14:textId="77777777" w:rsidR="00D332D0" w:rsidRDefault="00D332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  <w:sz w:val="22"/>
          <w:szCs w:val="22"/>
        </w:rPr>
      </w:pPr>
    </w:p>
    <w:tbl>
      <w:tblPr>
        <w:tblStyle w:val="a0"/>
        <w:tblW w:w="106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695"/>
        <w:gridCol w:w="7925"/>
      </w:tblGrid>
      <w:tr w:rsidR="00D332D0" w14:paraId="5E944228" w14:textId="77777777">
        <w:tc>
          <w:tcPr>
            <w:tcW w:w="2695" w:type="dxa"/>
          </w:tcPr>
          <w:p w14:paraId="1AAF905E" w14:textId="77777777" w:rsidR="00D332D0" w:rsidRDefault="00FE5D61">
            <w:pPr>
              <w:tabs>
                <w:tab w:val="right" w:pos="9360"/>
              </w:tabs>
            </w:pPr>
            <w:r>
              <w:rPr>
                <w:noProof/>
              </w:rPr>
              <w:drawing>
                <wp:inline distT="0" distB="0" distL="0" distR="0" wp14:anchorId="0385D760" wp14:editId="40A43386">
                  <wp:extent cx="1380758" cy="845529"/>
                  <wp:effectExtent l="0" t="0" r="0" b="0"/>
                  <wp:docPr id="1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758" cy="84552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5" w:type="dxa"/>
          </w:tcPr>
          <w:p w14:paraId="5C4222C4" w14:textId="77777777" w:rsidR="00D332D0" w:rsidRDefault="00FE5D61">
            <w:pPr>
              <w:tabs>
                <w:tab w:val="right" w:pos="9360"/>
              </w:tabs>
              <w:jc w:val="right"/>
              <w:rPr>
                <w:b/>
                <w:smallCaps/>
                <w:sz w:val="56"/>
                <w:szCs w:val="56"/>
                <w:u w:val="single"/>
              </w:rPr>
            </w:pPr>
            <w:r>
              <w:rPr>
                <w:b/>
                <w:smallCaps/>
                <w:sz w:val="56"/>
                <w:szCs w:val="56"/>
                <w:u w:val="single"/>
              </w:rPr>
              <w:t>Imagery Program Workgroup</w:t>
            </w:r>
          </w:p>
          <w:p w14:paraId="703C9104" w14:textId="294FA69E" w:rsidR="00D332D0" w:rsidRDefault="00FE5D61">
            <w:pPr>
              <w:tabs>
                <w:tab w:val="right" w:pos="9360"/>
              </w:tabs>
              <w:jc w:val="right"/>
            </w:pPr>
            <w:bookmarkStart w:id="0" w:name="_heading=h.gjdgxs" w:colFirst="0" w:colLast="0"/>
            <w:bookmarkEnd w:id="0"/>
            <w:r>
              <w:rPr>
                <w:b/>
                <w:smallCaps/>
                <w:sz w:val="56"/>
                <w:szCs w:val="56"/>
                <w:u w:val="single"/>
              </w:rPr>
              <w:t>202</w:t>
            </w:r>
            <w:r w:rsidR="002F5071">
              <w:rPr>
                <w:b/>
                <w:smallCaps/>
                <w:sz w:val="56"/>
                <w:szCs w:val="56"/>
                <w:u w:val="single"/>
              </w:rPr>
              <w:t>3</w:t>
            </w:r>
            <w:r>
              <w:rPr>
                <w:b/>
                <w:smallCaps/>
                <w:sz w:val="56"/>
                <w:szCs w:val="56"/>
                <w:u w:val="single"/>
              </w:rPr>
              <w:t>-</w:t>
            </w:r>
            <w:r w:rsidR="00851F9D">
              <w:rPr>
                <w:b/>
                <w:smallCaps/>
                <w:sz w:val="56"/>
                <w:szCs w:val="56"/>
                <w:u w:val="single"/>
              </w:rPr>
              <w:t>4</w:t>
            </w:r>
            <w:r>
              <w:rPr>
                <w:b/>
                <w:smallCaps/>
                <w:sz w:val="56"/>
                <w:szCs w:val="56"/>
                <w:u w:val="single"/>
              </w:rPr>
              <w:t xml:space="preserve"> Work Plan</w:t>
            </w:r>
          </w:p>
        </w:tc>
      </w:tr>
    </w:tbl>
    <w:p w14:paraId="78BAF489" w14:textId="77777777" w:rsidR="00D332D0" w:rsidRDefault="00D332D0">
      <w:pPr>
        <w:pStyle w:val="Heading2"/>
        <w:spacing w:after="240"/>
        <w:rPr>
          <w:u w:val="none"/>
        </w:rPr>
      </w:pPr>
    </w:p>
    <w:p w14:paraId="37441D36" w14:textId="77777777" w:rsidR="00D332D0" w:rsidRDefault="00FE5D61">
      <w:pPr>
        <w:pStyle w:val="Heading2"/>
        <w:spacing w:after="240"/>
        <w:rPr>
          <w:u w:val="none"/>
        </w:rPr>
      </w:pPr>
      <w:r>
        <w:rPr>
          <w:u w:val="none"/>
        </w:rPr>
        <w:t xml:space="preserve">Mission (from statutes): </w:t>
      </w:r>
    </w:p>
    <w:p w14:paraId="4B217AC1" w14:textId="77777777" w:rsidR="00D332D0" w:rsidRDefault="00FE5D61">
      <w:pPr>
        <w:numPr>
          <w:ilvl w:val="0"/>
          <w:numId w:val="2"/>
        </w:numPr>
        <w:spacing w:line="259" w:lineRule="auto"/>
        <w:jc w:val="left"/>
      </w:pPr>
      <w:r>
        <w:t>Provide a forum for stakeholder engagement and information exchange to support and facilitate interagency coordination of geospatial data acquisition and sharing to enhance and support state, federal, and local government business systems</w:t>
      </w:r>
    </w:p>
    <w:p w14:paraId="5E6F2BA8" w14:textId="77777777" w:rsidR="00D332D0" w:rsidRDefault="00FE5D61">
      <w:pPr>
        <w:numPr>
          <w:ilvl w:val="0"/>
          <w:numId w:val="2"/>
        </w:numPr>
        <w:spacing w:after="80" w:line="259" w:lineRule="auto"/>
        <w:jc w:val="left"/>
      </w:pPr>
      <w:r>
        <w:t>Incorporate user requirements on matters related to geospatial data, services, standards, applications, and activities to improve data sharing and use </w:t>
      </w:r>
    </w:p>
    <w:p w14:paraId="19B7EA1D" w14:textId="77777777" w:rsidR="00851F9D" w:rsidRDefault="00851F9D">
      <w:pPr>
        <w:tabs>
          <w:tab w:val="right" w:pos="9360"/>
        </w:tabs>
        <w:spacing w:before="80" w:after="120"/>
        <w:jc w:val="left"/>
      </w:pPr>
    </w:p>
    <w:p w14:paraId="69EABB4C" w14:textId="59E70EFD" w:rsidR="00D332D0" w:rsidRDefault="00FE5D61">
      <w:pPr>
        <w:tabs>
          <w:tab w:val="right" w:pos="9360"/>
        </w:tabs>
        <w:spacing w:before="80" w:after="120"/>
        <w:jc w:val="left"/>
      </w:pPr>
      <w:r>
        <w:t xml:space="preserve">Meeting Dates: </w:t>
      </w:r>
      <w:r w:rsidR="00851F9D">
        <w:t>This group intends to meet monthly on the fourth Tuesday from 11a – 12p.</w:t>
      </w:r>
    </w:p>
    <w:p w14:paraId="6D2048B2" w14:textId="77777777" w:rsidR="00D332D0" w:rsidRDefault="00D332D0">
      <w:pPr>
        <w:tabs>
          <w:tab w:val="right" w:pos="9360"/>
        </w:tabs>
        <w:spacing w:before="80" w:after="120"/>
        <w:jc w:val="left"/>
        <w:rPr>
          <w:color w:val="000000"/>
        </w:rPr>
      </w:pPr>
    </w:p>
    <w:p w14:paraId="0A91B8B2" w14:textId="77777777" w:rsidR="00D332D0" w:rsidRDefault="00FE5D61">
      <w:pPr>
        <w:tabs>
          <w:tab w:val="right" w:pos="9360"/>
        </w:tabs>
        <w:spacing w:after="120"/>
        <w:jc w:val="left"/>
      </w:pPr>
      <w:r>
        <w:t>Imagery Program Workgroup Participants:</w:t>
      </w:r>
    </w:p>
    <w:p w14:paraId="13674B06" w14:textId="5353411F" w:rsidR="00D332D0" w:rsidRDefault="00FE5D61">
      <w:pPr>
        <w:tabs>
          <w:tab w:val="left" w:pos="450"/>
          <w:tab w:val="right" w:pos="9360"/>
        </w:tabs>
        <w:spacing w:after="120"/>
        <w:jc w:val="left"/>
      </w:pPr>
      <w:r>
        <w:tab/>
        <w:t xml:space="preserve">Chairs: </w:t>
      </w:r>
      <w:r w:rsidR="00851F9D">
        <w:t>Kevin Blake,</w:t>
      </w:r>
      <w:r w:rsidR="00851F9D" w:rsidRPr="00851F9D">
        <w:t xml:space="preserve"> </w:t>
      </w:r>
      <w:r w:rsidR="00851F9D">
        <w:t>Eric Shreve, Patrick Whiteford</w:t>
      </w:r>
    </w:p>
    <w:p w14:paraId="7CB5EE28" w14:textId="5C77DAB0" w:rsidR="00D332D0" w:rsidRDefault="00FE5D61">
      <w:pPr>
        <w:spacing w:after="160" w:line="259" w:lineRule="auto"/>
        <w:ind w:left="450" w:hanging="450"/>
        <w:jc w:val="left"/>
      </w:pPr>
      <w:r>
        <w:tab/>
        <w:t>Voting Members: Karen Fisher, Tom Homan, Keith Larson, Arron Lee, Jenna Leveille</w:t>
      </w:r>
      <w:r w:rsidR="00851F9D">
        <w:t>, Aaron Michalenko</w:t>
      </w:r>
    </w:p>
    <w:p w14:paraId="6A7E7196" w14:textId="13526EF8" w:rsidR="00D332D0" w:rsidRDefault="00FE5D61">
      <w:pPr>
        <w:spacing w:after="160" w:line="259" w:lineRule="auto"/>
        <w:ind w:left="450"/>
        <w:jc w:val="left"/>
      </w:pPr>
      <w:r>
        <w:t xml:space="preserve">Public-at-large: Jessica Abrahams, Nathan Basch, Lynda Bell, Matt </w:t>
      </w:r>
      <w:proofErr w:type="spellStart"/>
      <w:r>
        <w:t>Bileski</w:t>
      </w:r>
      <w:proofErr w:type="spellEnd"/>
      <w:r>
        <w:t xml:space="preserve">, Candace Bogart, Sarah Burgi, Mark Christiano, Brian Colson, Terry Couchenour, </w:t>
      </w:r>
      <w:proofErr w:type="spellStart"/>
      <w:r>
        <w:t>Zhongxing</w:t>
      </w:r>
      <w:proofErr w:type="spellEnd"/>
      <w:r>
        <w:t xml:space="preserve"> Deng, Sarah Hess, Emily Lasala, Pete Marckmann, Cody Maynard, Dave Minton, Mariah Modson, Veronica Nixon, Jason Nyberg, Sophie </w:t>
      </w:r>
      <w:proofErr w:type="spellStart"/>
      <w:r>
        <w:t>Ojcius</w:t>
      </w:r>
      <w:proofErr w:type="spellEnd"/>
      <w:r>
        <w:t xml:space="preserve">, Brook Serpa, John Southern, Elisabeth </w:t>
      </w:r>
      <w:proofErr w:type="spellStart"/>
      <w:r>
        <w:t>VanderLeeuw</w:t>
      </w:r>
      <w:proofErr w:type="spellEnd"/>
      <w:r>
        <w:t>, Steve Whitney</w:t>
      </w:r>
    </w:p>
    <w:p w14:paraId="0FD8677B" w14:textId="77777777" w:rsidR="00D332D0" w:rsidRDefault="00FE5D61">
      <w:pPr>
        <w:tabs>
          <w:tab w:val="right" w:pos="9360"/>
        </w:tabs>
        <w:spacing w:after="120"/>
        <w:jc w:val="center"/>
        <w:rPr>
          <w:smallCap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hidden="0" allowOverlap="1" wp14:anchorId="7659779D" wp14:editId="614EBD5E">
                <wp:simplePos x="0" y="0"/>
                <wp:positionH relativeFrom="column">
                  <wp:posOffset>1</wp:posOffset>
                </wp:positionH>
                <wp:positionV relativeFrom="paragraph">
                  <wp:posOffset>63500</wp:posOffset>
                </wp:positionV>
                <wp:extent cx="6756400" cy="25400"/>
                <wp:effectExtent l="0" t="0" r="0" b="0"/>
                <wp:wrapNone/>
                <wp:docPr id="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74150" y="3780000"/>
                          <a:ext cx="674370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63500</wp:posOffset>
                </wp:positionV>
                <wp:extent cx="6756400" cy="25400"/>
                <wp:effectExtent b="0" l="0" r="0" t="0"/>
                <wp:wrapNone/>
                <wp:docPr id="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564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C0680F1" w14:textId="77777777" w:rsidR="00D332D0" w:rsidRDefault="00FE5D61">
      <w:pPr>
        <w:tabs>
          <w:tab w:val="right" w:pos="9360"/>
        </w:tabs>
        <w:spacing w:after="120"/>
        <w:jc w:val="left"/>
        <w:rPr>
          <w:smallCaps/>
          <w:sz w:val="28"/>
          <w:szCs w:val="28"/>
        </w:rPr>
      </w:pPr>
      <w:r>
        <w:rPr>
          <w:smallCaps/>
          <w:sz w:val="28"/>
          <w:szCs w:val="28"/>
        </w:rPr>
        <w:t>Goals And Activities</w:t>
      </w:r>
    </w:p>
    <w:p w14:paraId="208DA4A6" w14:textId="23CFE5B3" w:rsidR="00D332D0" w:rsidRDefault="00FE5D61">
      <w:pPr>
        <w:tabs>
          <w:tab w:val="right" w:pos="9360"/>
        </w:tabs>
        <w:spacing w:after="120"/>
        <w:jc w:val="left"/>
        <w:rPr>
          <w:sz w:val="26"/>
          <w:szCs w:val="26"/>
        </w:rPr>
      </w:pPr>
      <w:r>
        <w:rPr>
          <w:sz w:val="26"/>
          <w:szCs w:val="26"/>
        </w:rPr>
        <w:t>Provide a forum and the structure to discuss, develop, and implement a statewide imagery program for Arizona, by:</w:t>
      </w:r>
    </w:p>
    <w:p w14:paraId="74F23AF6" w14:textId="0444010E" w:rsidR="00D332D0" w:rsidRDefault="00FE5D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ind w:left="1440"/>
        <w:jc w:val="left"/>
        <w:rPr>
          <w:color w:val="000000"/>
          <w:sz w:val="26"/>
          <w:szCs w:val="26"/>
        </w:rPr>
      </w:pPr>
      <w:r>
        <w:rPr>
          <w:sz w:val="26"/>
          <w:szCs w:val="26"/>
        </w:rPr>
        <w:t>Defining the scope and objectives of an imagery program</w:t>
      </w:r>
      <w:r w:rsidR="00246CBE">
        <w:rPr>
          <w:sz w:val="26"/>
          <w:szCs w:val="26"/>
        </w:rPr>
        <w:t xml:space="preserve">. The group will </w:t>
      </w:r>
      <w:r w:rsidR="00B62CBF">
        <w:rPr>
          <w:sz w:val="26"/>
          <w:szCs w:val="26"/>
        </w:rPr>
        <w:t>discuss and</w:t>
      </w:r>
      <w:r w:rsidR="00246CBE">
        <w:rPr>
          <w:sz w:val="26"/>
          <w:szCs w:val="26"/>
        </w:rPr>
        <w:t xml:space="preserve"> document the following items to include in an acquisition strategy, guideline</w:t>
      </w:r>
      <w:r w:rsidR="00B62CBF">
        <w:rPr>
          <w:sz w:val="26"/>
          <w:szCs w:val="26"/>
        </w:rPr>
        <w:t>s</w:t>
      </w:r>
      <w:r w:rsidR="00246CBE">
        <w:rPr>
          <w:sz w:val="26"/>
          <w:szCs w:val="26"/>
        </w:rPr>
        <w:t xml:space="preserve">, and recommendations document for the AGIC Council: </w:t>
      </w:r>
    </w:p>
    <w:p w14:paraId="4BF65510" w14:textId="2B4E67E8" w:rsidR="00D332D0" w:rsidRDefault="00FE5D61" w:rsidP="00246CB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jc w:val="left"/>
        <w:rPr>
          <w:sz w:val="26"/>
          <w:szCs w:val="26"/>
        </w:rPr>
      </w:pPr>
      <w:r>
        <w:rPr>
          <w:sz w:val="26"/>
          <w:szCs w:val="26"/>
        </w:rPr>
        <w:t xml:space="preserve">Minimum </w:t>
      </w:r>
      <w:r w:rsidR="00246CBE">
        <w:rPr>
          <w:sz w:val="26"/>
          <w:szCs w:val="26"/>
        </w:rPr>
        <w:t xml:space="preserve">program </w:t>
      </w:r>
      <w:r>
        <w:rPr>
          <w:sz w:val="26"/>
          <w:szCs w:val="26"/>
        </w:rPr>
        <w:t>requirements</w:t>
      </w:r>
    </w:p>
    <w:p w14:paraId="72114FED" w14:textId="4C404F70" w:rsidR="00246CBE" w:rsidRDefault="00246CB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jc w:val="left"/>
        <w:rPr>
          <w:sz w:val="26"/>
          <w:szCs w:val="26"/>
        </w:rPr>
      </w:pPr>
      <w:r>
        <w:rPr>
          <w:sz w:val="26"/>
          <w:szCs w:val="26"/>
        </w:rPr>
        <w:t xml:space="preserve">Resolution for rural, </w:t>
      </w:r>
      <w:proofErr w:type="gramStart"/>
      <w:r>
        <w:rPr>
          <w:sz w:val="26"/>
          <w:szCs w:val="26"/>
        </w:rPr>
        <w:t>urban</w:t>
      </w:r>
      <w:proofErr w:type="gramEnd"/>
      <w:r>
        <w:rPr>
          <w:sz w:val="26"/>
          <w:szCs w:val="26"/>
        </w:rPr>
        <w:t xml:space="preserve"> and metropolitan areas</w:t>
      </w:r>
    </w:p>
    <w:p w14:paraId="442A3628" w14:textId="6BC29717" w:rsidR="00D332D0" w:rsidRDefault="00FE5D6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jc w:val="left"/>
        <w:rPr>
          <w:sz w:val="26"/>
          <w:szCs w:val="26"/>
        </w:rPr>
      </w:pPr>
      <w:r>
        <w:rPr>
          <w:sz w:val="26"/>
          <w:szCs w:val="26"/>
        </w:rPr>
        <w:t>Collection cycle</w:t>
      </w:r>
      <w:r w:rsidR="00246CBE">
        <w:rPr>
          <w:sz w:val="26"/>
          <w:szCs w:val="26"/>
        </w:rPr>
        <w:t>(s)</w:t>
      </w:r>
    </w:p>
    <w:p w14:paraId="77CA0413" w14:textId="2BFD4622" w:rsidR="00B62CBF" w:rsidRDefault="00FE5D61" w:rsidP="00B62CB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jc w:val="left"/>
        <w:rPr>
          <w:sz w:val="26"/>
          <w:szCs w:val="26"/>
        </w:rPr>
      </w:pPr>
      <w:r>
        <w:rPr>
          <w:sz w:val="26"/>
          <w:szCs w:val="26"/>
        </w:rPr>
        <w:t>Season of acquisition</w:t>
      </w:r>
    </w:p>
    <w:p w14:paraId="2E784F09" w14:textId="53350BF3" w:rsidR="00B62CBF" w:rsidRDefault="00B62CBF" w:rsidP="00B62CB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jc w:val="left"/>
        <w:rPr>
          <w:sz w:val="26"/>
          <w:szCs w:val="26"/>
        </w:rPr>
      </w:pPr>
      <w:r>
        <w:rPr>
          <w:sz w:val="26"/>
          <w:szCs w:val="26"/>
        </w:rPr>
        <w:lastRenderedPageBreak/>
        <w:t>Access and deliverables</w:t>
      </w:r>
    </w:p>
    <w:p w14:paraId="5470AC04" w14:textId="46C74F09" w:rsidR="00B62CBF" w:rsidRPr="00B62CBF" w:rsidRDefault="00B62CBF" w:rsidP="00B62CB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jc w:val="left"/>
        <w:rPr>
          <w:sz w:val="26"/>
          <w:szCs w:val="26"/>
        </w:rPr>
      </w:pPr>
      <w:r>
        <w:rPr>
          <w:sz w:val="26"/>
          <w:szCs w:val="26"/>
        </w:rPr>
        <w:t>Format requirements</w:t>
      </w:r>
    </w:p>
    <w:p w14:paraId="13B2E83C" w14:textId="7E0C7A40" w:rsidR="00B62CBF" w:rsidRDefault="00B62CBF" w:rsidP="00B62CBF">
      <w:pPr>
        <w:numPr>
          <w:ilvl w:val="2"/>
          <w:numId w:val="1"/>
        </w:numPr>
        <w:tabs>
          <w:tab w:val="right" w:pos="9360"/>
        </w:tabs>
        <w:jc w:val="left"/>
        <w:rPr>
          <w:sz w:val="26"/>
          <w:szCs w:val="26"/>
        </w:rPr>
      </w:pPr>
      <w:r>
        <w:rPr>
          <w:sz w:val="26"/>
          <w:szCs w:val="26"/>
        </w:rPr>
        <w:t>Ancillary/Derivative datasets</w:t>
      </w:r>
    </w:p>
    <w:p w14:paraId="55F58404" w14:textId="77777777" w:rsidR="00B62CBF" w:rsidRDefault="00B62CBF" w:rsidP="00B62CBF">
      <w:pPr>
        <w:numPr>
          <w:ilvl w:val="2"/>
          <w:numId w:val="1"/>
        </w:numPr>
        <w:tabs>
          <w:tab w:val="right" w:pos="9360"/>
        </w:tabs>
        <w:jc w:val="left"/>
        <w:rPr>
          <w:sz w:val="26"/>
          <w:szCs w:val="26"/>
        </w:rPr>
      </w:pPr>
      <w:r>
        <w:rPr>
          <w:sz w:val="26"/>
          <w:szCs w:val="26"/>
        </w:rPr>
        <w:t>Storage requirements &amp; infrastructure</w:t>
      </w:r>
    </w:p>
    <w:p w14:paraId="46D672C2" w14:textId="77777777" w:rsidR="00B62CBF" w:rsidRDefault="00B62CBF" w:rsidP="00B62CBF">
      <w:pPr>
        <w:numPr>
          <w:ilvl w:val="3"/>
          <w:numId w:val="1"/>
        </w:numPr>
        <w:tabs>
          <w:tab w:val="right" w:pos="9360"/>
        </w:tabs>
        <w:jc w:val="left"/>
        <w:rPr>
          <w:sz w:val="26"/>
          <w:szCs w:val="26"/>
        </w:rPr>
      </w:pPr>
      <w:r>
        <w:rPr>
          <w:sz w:val="26"/>
          <w:szCs w:val="26"/>
        </w:rPr>
        <w:t>Data Dissemination &amp; constraints</w:t>
      </w:r>
    </w:p>
    <w:p w14:paraId="358D319E" w14:textId="2E10841D" w:rsidR="00D332D0" w:rsidRDefault="00246CBE" w:rsidP="00246CB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jc w:val="left"/>
        <w:rPr>
          <w:sz w:val="26"/>
          <w:szCs w:val="26"/>
        </w:rPr>
      </w:pPr>
      <w:r>
        <w:rPr>
          <w:sz w:val="26"/>
          <w:szCs w:val="26"/>
        </w:rPr>
        <w:t>Program j</w:t>
      </w:r>
      <w:r w:rsidR="00FE5D61">
        <w:rPr>
          <w:sz w:val="26"/>
          <w:szCs w:val="26"/>
        </w:rPr>
        <w:t xml:space="preserve">ustification </w:t>
      </w:r>
      <w:r>
        <w:rPr>
          <w:sz w:val="26"/>
          <w:szCs w:val="26"/>
        </w:rPr>
        <w:t>and implementation strategy</w:t>
      </w:r>
    </w:p>
    <w:p w14:paraId="5686E8E8" w14:textId="77777777" w:rsidR="00B62CBF" w:rsidRDefault="00B62CBF" w:rsidP="00B62CBF">
      <w:pPr>
        <w:numPr>
          <w:ilvl w:val="3"/>
          <w:numId w:val="1"/>
        </w:numPr>
        <w:tabs>
          <w:tab w:val="right" w:pos="9360"/>
        </w:tabs>
        <w:jc w:val="left"/>
        <w:rPr>
          <w:sz w:val="26"/>
          <w:szCs w:val="26"/>
        </w:rPr>
      </w:pPr>
      <w:r>
        <w:rPr>
          <w:sz w:val="26"/>
          <w:szCs w:val="26"/>
        </w:rPr>
        <w:t>RFI/RFP requirements</w:t>
      </w:r>
    </w:p>
    <w:p w14:paraId="04B5410F" w14:textId="77777777" w:rsidR="00D332D0" w:rsidRDefault="00FE5D6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jc w:val="left"/>
        <w:rPr>
          <w:sz w:val="26"/>
          <w:szCs w:val="26"/>
        </w:rPr>
      </w:pPr>
      <w:r>
        <w:rPr>
          <w:sz w:val="26"/>
          <w:szCs w:val="26"/>
        </w:rPr>
        <w:t>Procurement mechanism and cost sharing model</w:t>
      </w:r>
    </w:p>
    <w:p w14:paraId="7E11361D" w14:textId="77777777" w:rsidR="00B62CBF" w:rsidRDefault="00B62CBF" w:rsidP="00B62CBF">
      <w:pPr>
        <w:numPr>
          <w:ilvl w:val="3"/>
          <w:numId w:val="1"/>
        </w:numPr>
        <w:tabs>
          <w:tab w:val="right" w:pos="9360"/>
        </w:tabs>
        <w:jc w:val="left"/>
        <w:rPr>
          <w:sz w:val="26"/>
          <w:szCs w:val="26"/>
        </w:rPr>
      </w:pPr>
      <w:r>
        <w:rPr>
          <w:sz w:val="26"/>
          <w:szCs w:val="26"/>
        </w:rPr>
        <w:t xml:space="preserve">timeline &amp; </w:t>
      </w:r>
    </w:p>
    <w:p w14:paraId="2816D3DB" w14:textId="0B5D7988" w:rsidR="00B62CBF" w:rsidRDefault="00B62CBF" w:rsidP="00FE5D61">
      <w:pPr>
        <w:numPr>
          <w:ilvl w:val="3"/>
          <w:numId w:val="1"/>
        </w:numPr>
        <w:tabs>
          <w:tab w:val="right" w:pos="9360"/>
        </w:tabs>
        <w:spacing w:after="240"/>
        <w:jc w:val="left"/>
        <w:rPr>
          <w:sz w:val="26"/>
          <w:szCs w:val="26"/>
        </w:rPr>
      </w:pPr>
      <w:r>
        <w:rPr>
          <w:sz w:val="26"/>
          <w:szCs w:val="26"/>
        </w:rPr>
        <w:t>project management requirements</w:t>
      </w:r>
    </w:p>
    <w:p w14:paraId="5125EF4D" w14:textId="15ED363A" w:rsidR="00B62CBF" w:rsidRDefault="00B62CBF" w:rsidP="00FE5D61">
      <w:pPr>
        <w:numPr>
          <w:ilvl w:val="0"/>
          <w:numId w:val="1"/>
        </w:numPr>
        <w:tabs>
          <w:tab w:val="right" w:pos="9360"/>
        </w:tabs>
        <w:spacing w:after="240"/>
        <w:ind w:left="1440"/>
        <w:jc w:val="left"/>
        <w:rPr>
          <w:sz w:val="26"/>
          <w:szCs w:val="26"/>
        </w:rPr>
      </w:pPr>
      <w:r>
        <w:rPr>
          <w:sz w:val="26"/>
          <w:szCs w:val="26"/>
        </w:rPr>
        <w:t>Develop</w:t>
      </w:r>
      <w:r w:rsidR="00692B97">
        <w:rPr>
          <w:sz w:val="26"/>
          <w:szCs w:val="26"/>
        </w:rPr>
        <w:t>ing</w:t>
      </w:r>
      <w:r>
        <w:rPr>
          <w:sz w:val="26"/>
          <w:szCs w:val="26"/>
        </w:rPr>
        <w:t xml:space="preserve"> processes and agreements to ensure program sustainability</w:t>
      </w:r>
    </w:p>
    <w:p w14:paraId="32555AF8" w14:textId="77777777" w:rsidR="00B62CBF" w:rsidRPr="00B62CBF" w:rsidRDefault="00B62C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ind w:left="1440"/>
        <w:jc w:val="left"/>
        <w:rPr>
          <w:color w:val="000000"/>
          <w:sz w:val="26"/>
          <w:szCs w:val="26"/>
        </w:rPr>
      </w:pPr>
      <w:r>
        <w:rPr>
          <w:sz w:val="26"/>
          <w:szCs w:val="26"/>
        </w:rPr>
        <w:t>Developing and implementing an e</w:t>
      </w:r>
      <w:r w:rsidR="00FE5D61">
        <w:rPr>
          <w:sz w:val="26"/>
          <w:szCs w:val="26"/>
        </w:rPr>
        <w:t xml:space="preserve">ducation </w:t>
      </w:r>
      <w:r>
        <w:rPr>
          <w:sz w:val="26"/>
          <w:szCs w:val="26"/>
        </w:rPr>
        <w:t>and o</w:t>
      </w:r>
      <w:r w:rsidR="00FE5D61">
        <w:rPr>
          <w:sz w:val="26"/>
          <w:szCs w:val="26"/>
        </w:rPr>
        <w:t xml:space="preserve">utreach </w:t>
      </w:r>
      <w:r>
        <w:rPr>
          <w:sz w:val="26"/>
          <w:szCs w:val="26"/>
        </w:rPr>
        <w:t xml:space="preserve">strategy </w:t>
      </w:r>
      <w:r w:rsidR="00FE5D61">
        <w:rPr>
          <w:sz w:val="26"/>
          <w:szCs w:val="26"/>
        </w:rPr>
        <w:t xml:space="preserve">to </w:t>
      </w:r>
    </w:p>
    <w:p w14:paraId="05A1FD19" w14:textId="166E21FD" w:rsidR="00D332D0" w:rsidRDefault="00B62CBF" w:rsidP="00B62C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jc w:val="left"/>
        <w:rPr>
          <w:color w:val="000000"/>
          <w:sz w:val="26"/>
          <w:szCs w:val="26"/>
        </w:rPr>
      </w:pPr>
      <w:r>
        <w:rPr>
          <w:sz w:val="26"/>
          <w:szCs w:val="26"/>
        </w:rPr>
        <w:t>ensure</w:t>
      </w:r>
      <w:r w:rsidR="00FE5D61">
        <w:t xml:space="preserve"> stakeholder</w:t>
      </w:r>
      <w:r w:rsidR="00692B97">
        <w:t xml:space="preserve"> engagement and</w:t>
      </w:r>
      <w:r w:rsidR="00FE5D61">
        <w:t xml:space="preserve"> representation through targeted outreach</w:t>
      </w:r>
    </w:p>
    <w:p w14:paraId="7333C52D" w14:textId="7723A95B" w:rsidR="00B62CBF" w:rsidRDefault="00B62CBF" w:rsidP="00B62CBF">
      <w:pPr>
        <w:numPr>
          <w:ilvl w:val="2"/>
          <w:numId w:val="1"/>
        </w:numPr>
        <w:tabs>
          <w:tab w:val="right" w:pos="9360"/>
        </w:tabs>
        <w:jc w:val="left"/>
        <w:rPr>
          <w:sz w:val="26"/>
          <w:szCs w:val="26"/>
        </w:rPr>
      </w:pPr>
      <w:r>
        <w:rPr>
          <w:sz w:val="26"/>
          <w:szCs w:val="26"/>
        </w:rPr>
        <w:t xml:space="preserve">explore and research existing imagery program documentation </w:t>
      </w:r>
    </w:p>
    <w:p w14:paraId="24203986" w14:textId="77777777" w:rsidR="00B62CBF" w:rsidRDefault="00B62CBF" w:rsidP="00B62CBF">
      <w:pPr>
        <w:numPr>
          <w:ilvl w:val="3"/>
          <w:numId w:val="1"/>
        </w:numPr>
        <w:tabs>
          <w:tab w:val="right" w:pos="9360"/>
        </w:tabs>
        <w:jc w:val="left"/>
        <w:rPr>
          <w:sz w:val="26"/>
          <w:szCs w:val="26"/>
        </w:rPr>
      </w:pPr>
      <w:r>
        <w:rPr>
          <w:sz w:val="26"/>
          <w:szCs w:val="26"/>
        </w:rPr>
        <w:t xml:space="preserve">Presentations from subject matter experts – recorded webinars </w:t>
      </w:r>
    </w:p>
    <w:p w14:paraId="034B8BFF" w14:textId="2C259A19" w:rsidR="00B62CBF" w:rsidRDefault="00B62CBF" w:rsidP="00B62CBF">
      <w:pPr>
        <w:numPr>
          <w:ilvl w:val="3"/>
          <w:numId w:val="1"/>
        </w:numPr>
        <w:tabs>
          <w:tab w:val="right" w:pos="9360"/>
        </w:tabs>
        <w:jc w:val="left"/>
        <w:rPr>
          <w:sz w:val="26"/>
          <w:szCs w:val="26"/>
        </w:rPr>
      </w:pPr>
      <w:r>
        <w:rPr>
          <w:sz w:val="26"/>
          <w:szCs w:val="26"/>
        </w:rPr>
        <w:t>Existing state imagery programs – use cases</w:t>
      </w:r>
      <w:r w:rsidR="00692B97">
        <w:rPr>
          <w:sz w:val="26"/>
          <w:szCs w:val="26"/>
        </w:rPr>
        <w:t xml:space="preserve"> &amp; best practices</w:t>
      </w:r>
    </w:p>
    <w:p w14:paraId="4032EE29" w14:textId="5560F23E" w:rsidR="00692B97" w:rsidRDefault="00B62CBF" w:rsidP="00692B97">
      <w:pPr>
        <w:numPr>
          <w:ilvl w:val="3"/>
          <w:numId w:val="1"/>
        </w:numPr>
        <w:tabs>
          <w:tab w:val="right" w:pos="9360"/>
        </w:tabs>
        <w:jc w:val="left"/>
        <w:rPr>
          <w:sz w:val="26"/>
          <w:szCs w:val="26"/>
        </w:rPr>
      </w:pPr>
      <w:r>
        <w:rPr>
          <w:sz w:val="26"/>
          <w:szCs w:val="26"/>
        </w:rPr>
        <w:t>RFI/RFP examples</w:t>
      </w:r>
    </w:p>
    <w:p w14:paraId="033A16E9" w14:textId="20499C8A" w:rsidR="00692B97" w:rsidRDefault="00692B97" w:rsidP="00692B97">
      <w:pPr>
        <w:numPr>
          <w:ilvl w:val="3"/>
          <w:numId w:val="1"/>
        </w:numPr>
        <w:tabs>
          <w:tab w:val="right" w:pos="9360"/>
        </w:tabs>
        <w:jc w:val="left"/>
        <w:rPr>
          <w:sz w:val="26"/>
          <w:szCs w:val="26"/>
        </w:rPr>
      </w:pPr>
      <w:r>
        <w:rPr>
          <w:sz w:val="26"/>
          <w:szCs w:val="26"/>
        </w:rPr>
        <w:t>Cost and program justification</w:t>
      </w:r>
    </w:p>
    <w:p w14:paraId="43073073" w14:textId="3760520C" w:rsidR="00692B97" w:rsidRPr="00692B97" w:rsidRDefault="00692B97" w:rsidP="00692B97">
      <w:pPr>
        <w:numPr>
          <w:ilvl w:val="4"/>
          <w:numId w:val="1"/>
        </w:numPr>
        <w:tabs>
          <w:tab w:val="right" w:pos="9360"/>
        </w:tabs>
        <w:spacing w:after="120"/>
        <w:jc w:val="left"/>
        <w:rPr>
          <w:sz w:val="26"/>
          <w:szCs w:val="26"/>
        </w:rPr>
      </w:pPr>
      <w:r>
        <w:rPr>
          <w:sz w:val="26"/>
          <w:szCs w:val="26"/>
        </w:rPr>
        <w:t>FGDC documentation and recommendations</w:t>
      </w:r>
    </w:p>
    <w:p w14:paraId="20CB20D2" w14:textId="76151532" w:rsidR="00692B97" w:rsidRPr="00692B97" w:rsidRDefault="00692B97" w:rsidP="00692B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ind w:left="1440"/>
        <w:jc w:val="left"/>
      </w:pPr>
      <w:r w:rsidRPr="00692B97">
        <w:rPr>
          <w:sz w:val="26"/>
          <w:szCs w:val="26"/>
        </w:rPr>
        <w:t>Developing a c</w:t>
      </w:r>
      <w:r w:rsidR="00FE5D61" w:rsidRPr="00692B97">
        <w:rPr>
          <w:sz w:val="26"/>
          <w:szCs w:val="26"/>
        </w:rPr>
        <w:t>ommunication strategy</w:t>
      </w:r>
      <w:r>
        <w:rPr>
          <w:sz w:val="26"/>
          <w:szCs w:val="26"/>
        </w:rPr>
        <w:t xml:space="preserve"> that includes use case examples</w:t>
      </w:r>
      <w:r w:rsidR="00FE5D61" w:rsidRPr="00692B97">
        <w:rPr>
          <w:sz w:val="26"/>
          <w:szCs w:val="26"/>
        </w:rPr>
        <w:t xml:space="preserve"> to ensure </w:t>
      </w:r>
      <w:r>
        <w:rPr>
          <w:sz w:val="26"/>
          <w:szCs w:val="26"/>
        </w:rPr>
        <w:t xml:space="preserve">program value is communicated clearly to Executive Leadership </w:t>
      </w:r>
    </w:p>
    <w:p w14:paraId="61554378" w14:textId="77777777" w:rsidR="00D332D0" w:rsidRDefault="00D332D0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jc w:val="left"/>
        <w:rPr>
          <w:sz w:val="26"/>
          <w:szCs w:val="26"/>
        </w:rPr>
      </w:pPr>
    </w:p>
    <w:p w14:paraId="1F0A4F80" w14:textId="77777777" w:rsidR="00D332D0" w:rsidRDefault="00D332D0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jc w:val="left"/>
        <w:rPr>
          <w:sz w:val="26"/>
          <w:szCs w:val="26"/>
        </w:rPr>
      </w:pPr>
    </w:p>
    <w:p w14:paraId="6998B378" w14:textId="77777777" w:rsidR="00D332D0" w:rsidRDefault="00D332D0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120"/>
        <w:ind w:left="1515"/>
        <w:jc w:val="left"/>
        <w:rPr>
          <w:color w:val="000000"/>
          <w:sz w:val="26"/>
          <w:szCs w:val="26"/>
        </w:rPr>
      </w:pPr>
    </w:p>
    <w:sectPr w:rsidR="00D332D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E252A" w14:textId="77777777" w:rsidR="00341D0B" w:rsidRDefault="00FE5D61">
      <w:r>
        <w:separator/>
      </w:r>
    </w:p>
  </w:endnote>
  <w:endnote w:type="continuationSeparator" w:id="0">
    <w:p w14:paraId="7151D7FE" w14:textId="77777777" w:rsidR="00341D0B" w:rsidRDefault="00FE5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0C67C" w14:textId="77777777" w:rsidR="00D332D0" w:rsidRDefault="00D332D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FB63E" w14:textId="77777777" w:rsidR="00D332D0" w:rsidRDefault="00FE5D6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F5071">
      <w:rPr>
        <w:noProof/>
        <w:color w:val="000000"/>
      </w:rPr>
      <w:t>1</w:t>
    </w:r>
    <w:r>
      <w:rPr>
        <w:color w:val="000000"/>
      </w:rPr>
      <w:fldChar w:fldCharType="end"/>
    </w:r>
  </w:p>
  <w:p w14:paraId="098F200D" w14:textId="77777777" w:rsidR="00D332D0" w:rsidRDefault="00D332D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B989F" w14:textId="77777777" w:rsidR="00D332D0" w:rsidRDefault="00D332D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39864" w14:textId="77777777" w:rsidR="00341D0B" w:rsidRDefault="00FE5D61">
      <w:r>
        <w:separator/>
      </w:r>
    </w:p>
  </w:footnote>
  <w:footnote w:type="continuationSeparator" w:id="0">
    <w:p w14:paraId="3EEA2565" w14:textId="77777777" w:rsidR="00341D0B" w:rsidRDefault="00FE5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0D1E5" w14:textId="77777777" w:rsidR="00D332D0" w:rsidRDefault="00D332D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887D0" w14:textId="77777777" w:rsidR="00D332D0" w:rsidRDefault="00851F9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pict w14:anchorId="219FF341">
        <v:shapetype id="_x0000_m2050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o:lock v:ext="edit" text="t" shapetype="t"/>
        </v:shapetype>
      </w:pict>
    </w:r>
    <w:r>
      <w:rPr>
        <w:color w:val="000000"/>
      </w:rPr>
      <w:pict w14:anchorId="219FF341">
        <v:shape id="PowerPlusWaterMarkObject1" o:spid="_x0000_s2049" type="#_x0000_m2050" style="position:absolute;left:0;text-align:left;margin-left:0;margin-top:0;width:412.4pt;height:247.45pt;rotation:315;z-index:-251658240;mso-position-horizontal:center;mso-position-horizontal-relative:margin;mso-position-vertical:center;mso-position-vertical-relative:margin" fillcolor="silver" stroked="f">
          <v:fill opacity=".5" angle="0"/>
          <v:textpath on="t" style="font-family:&quot;&amp;quot&quot;;font-size:1pt" fitshape="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7DEF9" w14:textId="77777777" w:rsidR="00D332D0" w:rsidRDefault="00D332D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A7EE1"/>
    <w:multiLevelType w:val="multilevel"/>
    <w:tmpl w:val="ABF8FE1A"/>
    <w:lvl w:ilvl="0">
      <w:start w:val="1"/>
      <w:numFmt w:val="bullet"/>
      <w:pStyle w:val="DESListStyle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3A84089"/>
    <w:multiLevelType w:val="multilevel"/>
    <w:tmpl w:val="C9F089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2D0"/>
    <w:rsid w:val="00246CBE"/>
    <w:rsid w:val="002F5071"/>
    <w:rsid w:val="00341D0B"/>
    <w:rsid w:val="00692B97"/>
    <w:rsid w:val="00851F9D"/>
    <w:rsid w:val="00B62CBF"/>
    <w:rsid w:val="00D332D0"/>
    <w:rsid w:val="00FE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5FC225A"/>
  <w15:docId w15:val="{32F965C9-9E15-415C-8301-6555102C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S Normal"/>
    <w:qFormat/>
    <w:rsid w:val="001C4A7B"/>
  </w:style>
  <w:style w:type="paragraph" w:styleId="Heading1">
    <w:name w:val="heading 1"/>
    <w:aliases w:val="DES Heading 1"/>
    <w:basedOn w:val="Normal"/>
    <w:next w:val="Normal"/>
    <w:link w:val="Heading1Char"/>
    <w:uiPriority w:val="9"/>
    <w:qFormat/>
    <w:rsid w:val="001C4A7B"/>
    <w:pPr>
      <w:keepNext/>
      <w:keepLines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aliases w:val="DES Heading 2"/>
    <w:basedOn w:val="Normal"/>
    <w:next w:val="Normal"/>
    <w:link w:val="Heading2Char"/>
    <w:uiPriority w:val="9"/>
    <w:unhideWhenUsed/>
    <w:qFormat/>
    <w:rsid w:val="001C4A7B"/>
    <w:pPr>
      <w:keepNext/>
      <w:keepLines/>
      <w:outlineLvl w:val="1"/>
    </w:pPr>
    <w:rPr>
      <w:rFonts w:eastAsiaTheme="majorEastAsia" w:cstheme="majorBidi"/>
      <w:szCs w:val="26"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ES Title"/>
    <w:basedOn w:val="Normal"/>
    <w:next w:val="Normal"/>
    <w:link w:val="TitleChar"/>
    <w:uiPriority w:val="10"/>
    <w:qFormat/>
    <w:rsid w:val="001C4A7B"/>
    <w:pPr>
      <w:contextualSpacing/>
      <w:jc w:val="center"/>
    </w:pPr>
    <w:rPr>
      <w:rFonts w:eastAsiaTheme="majorEastAsia" w:cstheme="majorBidi"/>
      <w:b/>
      <w:spacing w:val="-10"/>
      <w:kern w:val="28"/>
      <w:sz w:val="40"/>
      <w:szCs w:val="56"/>
    </w:rPr>
  </w:style>
  <w:style w:type="paragraph" w:customStyle="1" w:styleId="DESListStyle">
    <w:name w:val="DES List Style"/>
    <w:basedOn w:val="ListParagraph"/>
    <w:link w:val="DESListStyleChar"/>
    <w:qFormat/>
    <w:rsid w:val="001C4A7B"/>
    <w:pPr>
      <w:numPr>
        <w:numId w:val="2"/>
      </w:numPr>
    </w:pPr>
    <w:rPr>
      <w:rFonts w:eastAsia="Times New Roman"/>
      <w:color w:val="000000"/>
    </w:rPr>
  </w:style>
  <w:style w:type="character" w:customStyle="1" w:styleId="DESListStyleChar">
    <w:name w:val="DES List Style Char"/>
    <w:basedOn w:val="DefaultParagraphFont"/>
    <w:link w:val="DESListStyle"/>
    <w:rsid w:val="001C4A7B"/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243AF"/>
    <w:pPr>
      <w:ind w:left="720"/>
      <w:contextualSpacing/>
    </w:pPr>
  </w:style>
  <w:style w:type="character" w:customStyle="1" w:styleId="Heading1Char">
    <w:name w:val="Heading 1 Char"/>
    <w:aliases w:val="DES Heading 1 Char"/>
    <w:basedOn w:val="DefaultParagraphFont"/>
    <w:link w:val="Heading1"/>
    <w:uiPriority w:val="9"/>
    <w:rsid w:val="001C4A7B"/>
    <w:rPr>
      <w:rFonts w:ascii="Arial" w:eastAsiaTheme="majorEastAsia" w:hAnsi="Arial" w:cstheme="majorBidi"/>
      <w:b/>
      <w:sz w:val="28"/>
      <w:szCs w:val="32"/>
    </w:rPr>
  </w:style>
  <w:style w:type="character" w:customStyle="1" w:styleId="Heading2Char">
    <w:name w:val="Heading 2 Char"/>
    <w:aliases w:val="DES Heading 2 Char"/>
    <w:basedOn w:val="DefaultParagraphFont"/>
    <w:link w:val="Heading2"/>
    <w:uiPriority w:val="9"/>
    <w:rsid w:val="001C4A7B"/>
    <w:rPr>
      <w:rFonts w:ascii="Arial" w:eastAsiaTheme="majorEastAsia" w:hAnsi="Arial" w:cstheme="majorBidi"/>
      <w:sz w:val="24"/>
      <w:szCs w:val="26"/>
      <w:u w:val="single"/>
    </w:rPr>
  </w:style>
  <w:style w:type="paragraph" w:customStyle="1" w:styleId="DESTOCLevel1">
    <w:name w:val="DES TOC Level 1"/>
    <w:basedOn w:val="Heading1"/>
    <w:link w:val="DESTOCLevel1Char"/>
    <w:qFormat/>
    <w:rsid w:val="001C4A7B"/>
    <w:pPr>
      <w:spacing w:before="120"/>
    </w:pPr>
    <w:rPr>
      <w:sz w:val="24"/>
    </w:rPr>
  </w:style>
  <w:style w:type="character" w:customStyle="1" w:styleId="DESTOCLevel1Char">
    <w:name w:val="DES TOC Level 1 Char"/>
    <w:basedOn w:val="DefaultParagraphFont"/>
    <w:link w:val="DESTOCLevel1"/>
    <w:rsid w:val="001C4A7B"/>
    <w:rPr>
      <w:rFonts w:ascii="Arial" w:eastAsiaTheme="majorEastAsia" w:hAnsi="Arial" w:cstheme="majorBidi"/>
      <w:b/>
      <w:sz w:val="24"/>
      <w:szCs w:val="32"/>
    </w:rPr>
  </w:style>
  <w:style w:type="paragraph" w:customStyle="1" w:styleId="DESTOCLevel2">
    <w:name w:val="DES TOC Level 2"/>
    <w:basedOn w:val="TOC2"/>
    <w:link w:val="DESTOCLevel2Char"/>
    <w:qFormat/>
    <w:rsid w:val="001C4A7B"/>
    <w:pPr>
      <w:spacing w:before="40" w:after="0"/>
      <w:ind w:left="504"/>
      <w:outlineLvl w:val="0"/>
    </w:pPr>
    <w:rPr>
      <w:rFonts w:eastAsiaTheme="minorEastAsia" w:cs="Times New Roman"/>
    </w:rPr>
  </w:style>
  <w:style w:type="character" w:customStyle="1" w:styleId="DESTOCLevel2Char">
    <w:name w:val="DES TOC Level 2 Char"/>
    <w:basedOn w:val="DefaultParagraphFont"/>
    <w:link w:val="DESTOCLevel2"/>
    <w:rsid w:val="001C4A7B"/>
    <w:rPr>
      <w:rFonts w:ascii="Arial" w:eastAsiaTheme="minorEastAsia" w:hAnsi="Arial" w:cs="Times New Roman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7243AF"/>
    <w:pPr>
      <w:spacing w:after="100"/>
      <w:ind w:left="220"/>
    </w:pPr>
  </w:style>
  <w:style w:type="character" w:customStyle="1" w:styleId="TitleChar">
    <w:name w:val="Title Char"/>
    <w:aliases w:val="DES Title Char"/>
    <w:basedOn w:val="DefaultParagraphFont"/>
    <w:link w:val="Title"/>
    <w:uiPriority w:val="10"/>
    <w:rsid w:val="001C4A7B"/>
    <w:rPr>
      <w:rFonts w:ascii="Arial" w:eastAsiaTheme="majorEastAsia" w:hAnsi="Arial" w:cstheme="majorBidi"/>
      <w:b/>
      <w:spacing w:val="-10"/>
      <w:kern w:val="28"/>
      <w:sz w:val="40"/>
      <w:szCs w:val="56"/>
    </w:rPr>
  </w:style>
  <w:style w:type="table" w:styleId="TableGrid">
    <w:name w:val="Table Grid"/>
    <w:basedOn w:val="TableNormal"/>
    <w:uiPriority w:val="39"/>
    <w:rsid w:val="00821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C00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00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00D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00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00DE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0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0D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D2A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2A91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D2A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2A91"/>
    <w:rPr>
      <w:rFonts w:ascii="Arial" w:hAnsi="Arial"/>
      <w:sz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a3VO9MO63i6sJkBD+2n/8UZT3gg==">AMUW2mUuofATmbeNBcZBgxwo1awEU6emyLcmoAHVguq82NZLpgy5yrhBHijOdr7Jc0ygyrlOOQtmVkriUK9R91uqeZTrYyuyUoaOWRrcX3SA8RsTwr/KNQnC3kE6FdrSH2iNSs3QBBIR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State Land Department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Murray, Lucas, M</dc:creator>
  <cp:lastModifiedBy>Jenna Straface</cp:lastModifiedBy>
  <cp:revision>4</cp:revision>
  <dcterms:created xsi:type="dcterms:W3CDTF">2023-04-01T17:27:00Z</dcterms:created>
  <dcterms:modified xsi:type="dcterms:W3CDTF">2023-04-24T17:38:00Z</dcterms:modified>
</cp:coreProperties>
</file>